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b/>
          <w:sz w:val="28"/>
        </w:rPr>
      </w:pP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posOffset>2179889</wp:posOffset>
            </wp:positionH>
            <wp:positionV relativeFrom="margin">
              <wp:posOffset>-207892</wp:posOffset>
            </wp:positionV>
            <wp:extent cx="1569085" cy="637540"/>
            <wp:effectExtent l="0" t="0" r="0" b="0"/>
            <wp:wrapTight wrapText="right">
              <wp:wrapPolygon edited="0">
                <wp:start x="0" y="0"/>
                <wp:lineTo x="0" y="20653"/>
                <wp:lineTo x="21242" y="20653"/>
                <wp:lineTo x="21242"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9085" cy="637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4964430</wp:posOffset>
            </wp:positionH>
            <wp:positionV relativeFrom="paragraph">
              <wp:posOffset>98425</wp:posOffset>
            </wp:positionV>
            <wp:extent cx="1099820" cy="404495"/>
            <wp:effectExtent l="0" t="0" r="5080" b="0"/>
            <wp:wrapThrough wrapText="bothSides">
              <wp:wrapPolygon edited="0">
                <wp:start x="0" y="0"/>
                <wp:lineTo x="0" y="20345"/>
                <wp:lineTo x="21326" y="20345"/>
                <wp:lineTo x="21326" y="0"/>
                <wp:lineTo x="0" y="0"/>
              </wp:wrapPolygon>
            </wp:wrapThrough>
            <wp:docPr id="9" name="Image 9"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CORBERAND\AppData\Local\Microsoft\Windows\INetCache\Content.MSO\E3DFF825.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9820" cy="404495"/>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jc w:val="right"/>
        <w:rPr>
          <w:b/>
          <w:sz w:val="24"/>
        </w:rPr>
      </w:pPr>
      <w:r>
        <w:rPr>
          <w:b/>
          <w:sz w:val="24"/>
        </w:rPr>
        <w:t>ATTRI1</w:t>
      </w:r>
    </w:p>
    <w:p>
      <w:pPr>
        <w:rPr>
          <w:b/>
          <w:sz w:val="24"/>
        </w:rPr>
      </w:pPr>
    </w:p>
    <w:p>
      <w:pPr>
        <w:ind w:left="0" w:right="411"/>
        <w:rPr>
          <w:rFonts w:cs="Calibri"/>
          <w:b/>
          <w:szCs w:val="20"/>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jc w:val="center"/>
              <w:rPr>
                <w:b/>
                <w:sz w:val="28"/>
              </w:rPr>
            </w:pPr>
            <w:r>
              <w:rPr>
                <w:b/>
                <w:sz w:val="28"/>
              </w:rPr>
              <w:t>A.E.</w:t>
            </w:r>
          </w:p>
          <w:p>
            <w:pPr>
              <w:jc w:val="center"/>
              <w:rPr>
                <w:b/>
                <w:sz w:val="28"/>
              </w:rPr>
            </w:pPr>
            <w:r>
              <w:rPr>
                <w:b/>
                <w:sz w:val="28"/>
              </w:rPr>
              <w:t xml:space="preserve">ACTE D’ENGAGEMENT </w:t>
            </w:r>
          </w:p>
        </w:tc>
      </w:tr>
    </w:tbl>
    <w:p>
      <w:pPr>
        <w:rPr>
          <w:b/>
          <w:sz w:val="28"/>
        </w:rPr>
      </w:pPr>
    </w:p>
    <w:tbl>
      <w:tblPr>
        <w:tblStyle w:val="Grilledutableau"/>
        <w:tblW w:w="9072" w:type="dxa"/>
        <w:tblInd w:w="279" w:type="dxa"/>
        <w:shd w:val="clear" w:color="auto" w:fill="CCB6D9"/>
        <w:tblLook w:val="04A0" w:firstRow="1" w:lastRow="0" w:firstColumn="1" w:lastColumn="0" w:noHBand="0" w:noVBand="1"/>
      </w:tblPr>
      <w:tblGrid>
        <w:gridCol w:w="9072"/>
      </w:tblGrid>
      <w:tr>
        <w:trPr>
          <w:trHeight w:val="713"/>
        </w:trPr>
        <w:tc>
          <w:tcPr>
            <w:tcW w:w="9072" w:type="dxa"/>
            <w:shd w:val="clear" w:color="auto" w:fill="CCB6D9"/>
          </w:tcPr>
          <w:p>
            <w:pPr>
              <w:ind w:left="312" w:right="-112"/>
              <w:jc w:val="center"/>
              <w:rPr>
                <w:b/>
                <w:sz w:val="28"/>
              </w:rPr>
            </w:pPr>
            <w:r>
              <w:rPr>
                <w:b/>
                <w:sz w:val="28"/>
              </w:rPr>
              <w:t xml:space="preserve">MISSIONS DE SECURITE ET DE SURVEILLANCE </w:t>
            </w:r>
          </w:p>
          <w:p>
            <w:pPr>
              <w:ind w:left="312" w:right="-112"/>
              <w:jc w:val="center"/>
              <w:rPr>
                <w:b/>
                <w:sz w:val="28"/>
              </w:rPr>
            </w:pPr>
            <w:r>
              <w:rPr>
                <w:b/>
                <w:sz w:val="28"/>
              </w:rPr>
              <w:t>DU CENTRE HOSPITALIER DE GONESSE</w:t>
            </w:r>
          </w:p>
        </w:tc>
      </w:tr>
    </w:tbl>
    <w:p>
      <w:pPr>
        <w:ind w:right="411"/>
        <w:jc w:val="center"/>
        <w:rPr>
          <w:rFonts w:cs="Calibri"/>
          <w:szCs w:val="22"/>
        </w:rPr>
      </w:pPr>
    </w:p>
    <w:p>
      <w:pPr>
        <w:ind w:right="411"/>
        <w:jc w:val="center"/>
        <w:rPr>
          <w:rFonts w:cs="Calibri"/>
          <w:szCs w:val="22"/>
        </w:rPr>
      </w:pPr>
    </w:p>
    <w:p>
      <w:pPr>
        <w:jc w:val="center"/>
        <w:rPr>
          <w:b/>
        </w:rPr>
      </w:pPr>
      <w:r>
        <w:rPr>
          <w:b/>
        </w:rPr>
        <w:t>La procédure est passée en application des dispositions du Code la Commande Publique (ci-après « le Code ») :</w:t>
      </w:r>
    </w:p>
    <w:p>
      <w:pPr>
        <w:jc w:val="center"/>
        <w:rPr>
          <w:b/>
        </w:rPr>
      </w:pPr>
    </w:p>
    <w:p>
      <w:pPr>
        <w:ind w:left="0"/>
        <w:jc w:val="center"/>
      </w:pPr>
      <w:r>
        <w:t>Appel d’offres ouvert</w:t>
      </w:r>
      <w:r>
        <w:rPr>
          <w:color w:val="FF0066"/>
        </w:rPr>
        <w:t> :</w:t>
      </w:r>
      <w:r>
        <w:t xml:space="preserve"> articles L.2124-2 et R.2124-2-1 du Code ;</w:t>
      </w:r>
    </w:p>
    <w:p>
      <w:pPr>
        <w:jc w:val="center"/>
      </w:pPr>
      <w:r>
        <w:t>&amp;</w:t>
      </w:r>
    </w:p>
    <w:p>
      <w:pPr>
        <w:jc w:val="center"/>
      </w:pPr>
      <w:r>
        <w:t>Accord-cadre Mono-attributaire et Multi-attributaires : articles –L.2125-1</w:t>
      </w:r>
      <w:r>
        <w:rPr>
          <w:bCs/>
        </w:rPr>
        <w:t xml:space="preserve"> </w:t>
      </w:r>
      <w:r>
        <w:t>et R.2162-2-2°- du Code ;</w:t>
      </w:r>
    </w:p>
    <w:p>
      <w:pPr>
        <w:jc w:val="center"/>
      </w:pPr>
      <w:r>
        <w:t>&amp;</w:t>
      </w:r>
    </w:p>
    <w:p>
      <w:pPr>
        <w:jc w:val="center"/>
        <w:rPr>
          <w:bCs/>
        </w:rPr>
      </w:pPr>
      <w:r>
        <w:rPr>
          <w:bCs/>
        </w:rPr>
        <w:t xml:space="preserve">A bons de commande : articles R.2162-13 à R.2162-14 du code </w:t>
      </w:r>
    </w:p>
    <w:p>
      <w:pPr>
        <w:jc w:val="center"/>
      </w:pPr>
    </w:p>
    <w:p>
      <w:pPr>
        <w:ind w:right="411"/>
        <w:jc w:val="both"/>
        <w:rPr>
          <w:rFonts w:cs="Calibri"/>
          <w:szCs w:val="22"/>
        </w:rPr>
      </w:pPr>
    </w:p>
    <w:p>
      <w:pPr>
        <w:jc w:val="center"/>
      </w:pPr>
    </w:p>
    <w:p>
      <w:pPr>
        <w:jc w:val="center"/>
        <w:rPr>
          <w:b/>
        </w:rPr>
      </w:pPr>
      <w:r>
        <w:rPr>
          <w:b/>
        </w:rPr>
        <w:t>Pouvoir Adjudicateur</w:t>
      </w:r>
    </w:p>
    <w:p>
      <w:pPr>
        <w:jc w:val="center"/>
        <w:rPr>
          <w:b/>
        </w:rPr>
      </w:pPr>
    </w:p>
    <w:p>
      <w:pPr>
        <w:ind w:left="0" w:right="411"/>
        <w:jc w:val="center"/>
        <w:rPr>
          <w:rFonts w:cs="Calibri"/>
          <w:b/>
          <w:sz w:val="24"/>
        </w:rPr>
      </w:pPr>
      <w:r>
        <w:rPr>
          <w:rFonts w:cs="Calibri"/>
          <w:b/>
          <w:sz w:val="24"/>
        </w:rPr>
        <w:t xml:space="preserve">                  CENTRE HOSPITALIER DE SAINT-DENIS</w:t>
      </w:r>
    </w:p>
    <w:p>
      <w:pPr>
        <w:ind w:left="0" w:right="411"/>
        <w:jc w:val="center"/>
        <w:rPr>
          <w:rFonts w:cs="Calibri"/>
          <w:bCs/>
        </w:rPr>
      </w:pPr>
      <w:r>
        <w:rPr>
          <w:rFonts w:cs="Calibri"/>
          <w:bCs/>
        </w:rPr>
        <w:t xml:space="preserve">                             ETABLISSEMENT SUPPORT DU GHT PLAINE DE </w:t>
      </w:r>
      <w:r>
        <w:rPr>
          <w:bCs/>
        </w:rPr>
        <w:t>FRANCE</w:t>
      </w:r>
    </w:p>
    <w:p>
      <w:pPr>
        <w:ind w:left="0" w:right="411"/>
        <w:jc w:val="center"/>
        <w:rPr>
          <w:rFonts w:cs="Calibri"/>
          <w:sz w:val="24"/>
        </w:rPr>
      </w:pPr>
      <w:r>
        <w:rPr>
          <w:rFonts w:cs="Calibri"/>
          <w:bCs/>
          <w:sz w:val="24"/>
        </w:rPr>
        <w:t xml:space="preserve">                   Direction des Achats</w:t>
      </w:r>
    </w:p>
    <w:p>
      <w:pPr>
        <w:ind w:left="0" w:right="411"/>
        <w:jc w:val="center"/>
        <w:rPr>
          <w:rFonts w:cs="Calibri"/>
          <w:sz w:val="24"/>
        </w:rPr>
      </w:pPr>
      <w:r>
        <w:rPr>
          <w:rFonts w:cs="Calibri"/>
          <w:sz w:val="24"/>
        </w:rPr>
        <w:t xml:space="preserve">                    2, rue du Docteur Delafontaine</w:t>
      </w:r>
    </w:p>
    <w:p>
      <w:pPr>
        <w:ind w:left="0" w:right="411"/>
        <w:jc w:val="center"/>
        <w:rPr>
          <w:rFonts w:cs="Calibri"/>
          <w:sz w:val="24"/>
        </w:rPr>
      </w:pPr>
      <w:r>
        <w:rPr>
          <w:rFonts w:cs="Calibri"/>
          <w:sz w:val="24"/>
        </w:rPr>
        <w:t xml:space="preserve">            BP 279</w:t>
      </w:r>
    </w:p>
    <w:p>
      <w:pPr>
        <w:ind w:left="0" w:right="411"/>
        <w:jc w:val="center"/>
        <w:rPr>
          <w:rFonts w:cs="Calibri"/>
          <w:sz w:val="24"/>
        </w:rPr>
      </w:pPr>
      <w:r>
        <w:rPr>
          <w:rFonts w:cs="Calibri"/>
          <w:sz w:val="24"/>
        </w:rPr>
        <w:t xml:space="preserve">                  93205 SAINT-DENIS CEDEX</w:t>
      </w:r>
    </w:p>
    <w:p>
      <w:pPr>
        <w:jc w:val="center"/>
      </w:pPr>
    </w:p>
    <w:p>
      <w:pPr>
        <w:jc w:val="center"/>
        <w:rPr>
          <w:b/>
        </w:rPr>
      </w:pPr>
    </w:p>
    <w:p>
      <w:pPr>
        <w:jc w:val="center"/>
        <w:rPr>
          <w:b/>
        </w:rPr>
      </w:pPr>
    </w:p>
    <w:p>
      <w:pPr>
        <w:jc w:val="center"/>
      </w:pPr>
    </w:p>
    <w:p/>
    <w:p/>
    <w:p/>
    <w:p/>
    <w:p>
      <w:pPr>
        <w:spacing w:after="200" w:line="276" w:lineRule="auto"/>
      </w:pPr>
    </w:p>
    <w:p>
      <w:pPr>
        <w:spacing w:after="200" w:line="276" w:lineRule="auto"/>
      </w:pPr>
      <w:r>
        <w:br w:type="page"/>
      </w:r>
    </w:p>
    <w:p>
      <w:pPr>
        <w:ind w:left="0"/>
        <w:rPr>
          <w:b/>
        </w:rPr>
      </w:pPr>
      <w:r>
        <w:rPr>
          <w:b/>
        </w:rPr>
        <w:lastRenderedPageBreak/>
        <w:t>OBJET DU MARCHE PUBLIC</w:t>
      </w:r>
    </w:p>
    <w:p>
      <w:pPr>
        <w:ind w:left="0"/>
        <w:rPr>
          <w:b/>
        </w:rPr>
      </w:pPr>
    </w:p>
    <w:p>
      <w:pPr>
        <w:widowControl w:val="0"/>
        <w:autoSpaceDE w:val="0"/>
        <w:autoSpaceDN w:val="0"/>
        <w:ind w:left="944"/>
        <w:rPr>
          <w:rFonts w:eastAsia="Calibri" w:cs="Calibri"/>
          <w:spacing w:val="-1"/>
          <w:szCs w:val="22"/>
          <w:lang w:eastAsia="en-US"/>
        </w:rPr>
      </w:pPr>
      <w:bookmarkStart w:id="0" w:name="_Hlk181692077"/>
      <w:r>
        <w:rPr>
          <w:rFonts w:eastAsia="Calibri" w:cs="Calibri"/>
          <w:spacing w:val="-1"/>
          <w:szCs w:val="22"/>
          <w:lang w:eastAsia="en-US"/>
        </w:rPr>
        <w:t>La présente consultation porte sur les prestations de sécurité et de surveillance du Centre Hospitalier de Gonesse.</w:t>
      </w:r>
    </w:p>
    <w:bookmarkEnd w:id="0"/>
    <w:p>
      <w:pPr>
        <w:ind w:left="0"/>
        <w:rPr>
          <w:rFonts w:cs="Calibri"/>
          <w:color w:val="000000"/>
          <w:szCs w:val="22"/>
        </w:rPr>
      </w:pPr>
    </w:p>
    <w:p>
      <w:pPr>
        <w:rPr>
          <w:rFonts w:cs="Calibri"/>
          <w:color w:val="000000"/>
          <w:szCs w:val="22"/>
        </w:rPr>
      </w:pPr>
      <w:r>
        <w:rPr>
          <w:rFonts w:cs="Calibri"/>
          <w:color w:val="000000"/>
          <w:szCs w:val="22"/>
        </w:rPr>
        <w:t>Cet acte d'engagement correspond :</w:t>
      </w:r>
    </w:p>
    <w:p>
      <w:pPr>
        <w:rPr>
          <w:rFonts w:cs="Calibri"/>
          <w:color w:val="000000"/>
          <w:szCs w:val="22"/>
        </w:rPr>
      </w:pPr>
    </w:p>
    <w:p>
      <w:pPr>
        <w:rPr>
          <w:rFonts w:cs="Calibri"/>
          <w:color w:val="000000"/>
          <w:szCs w:val="22"/>
        </w:rPr>
      </w:pPr>
      <w:r>
        <w:rPr>
          <w:rFonts w:cs="Calibri"/>
          <w:color w:val="000000"/>
          <w:szCs w:val="22"/>
        </w:rPr>
        <w:t>.</w:t>
      </w: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À l’offre de base ;</w:t>
      </w:r>
    </w:p>
    <w:p>
      <w:pPr>
        <w:ind w:left="1418"/>
        <w:rPr>
          <w:rFonts w:cs="Calibri"/>
          <w:color w:val="000000"/>
          <w:szCs w:val="22"/>
        </w:rPr>
      </w:pPr>
    </w:p>
    <w:p>
      <w:pPr>
        <w:pStyle w:val="Titre1"/>
      </w:pPr>
      <w:r>
        <w:t>Engagement du titulaire ou du groupement titulaire</w:t>
      </w:r>
    </w:p>
    <w:p>
      <w:pPr>
        <w:pStyle w:val="Titre2"/>
        <w:spacing w:before="0" w:after="0"/>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CCP </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CCAG-FCS 2021 - Cahier des Clauses Administratives Générales applicables aux marchés publics de Fournitures Courantes et Services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Autres : ……………………………………………………………………………………………</w:t>
      </w:r>
    </w:p>
    <w:p>
      <w:pPr>
        <w:spacing w:before="100" w:beforeAutospacing="1" w:after="100" w:afterAutospacing="1"/>
        <w:rPr>
          <w:rFonts w:cs="Calibri"/>
          <w:color w:val="000000"/>
          <w:szCs w:val="22"/>
        </w:rPr>
      </w:pPr>
      <w:r>
        <w:rPr>
          <w:rFonts w:cs="Calibri"/>
          <w:color w:val="000000"/>
          <w:szCs w:val="22"/>
        </w:rPr>
        <w:t>Et conformément à leurs clauses,</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widowControl w:val="0"/>
        <w:tabs>
          <w:tab w:val="left" w:leader="dot" w:pos="8505"/>
        </w:tabs>
        <w:spacing w:before="40"/>
        <w:ind w:left="1418"/>
        <w:rPr>
          <w:rFonts w:cs="Calibri"/>
          <w:szCs w:val="22"/>
        </w:rPr>
      </w:pP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S’engage, sur la base de son offre et pour son propre compte ;</w:t>
      </w:r>
    </w:p>
    <w:p>
      <w:pPr>
        <w:tabs>
          <w:tab w:val="left" w:pos="2687"/>
        </w:tabs>
        <w:rPr>
          <w:rFonts w:cs="Calibri"/>
          <w:szCs w:val="22"/>
        </w:rPr>
      </w:pPr>
      <w:r>
        <w:rPr>
          <w:rFonts w:cs="Calibri"/>
          <w:szCs w:val="22"/>
        </w:rPr>
        <w:tab/>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Engage la société ……………………… sur la base de son offre ;</w:t>
      </w:r>
    </w:p>
    <w:p>
      <w:pPr>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r>
        <w:rPr>
          <w:rFonts w:cs="Calibri"/>
          <w:color w:val="000000"/>
          <w:szCs w:val="22"/>
        </w:rPr>
        <w:t>À livrer les fournitures demandées ou à exécuter les prestations demandées :</w:t>
      </w:r>
    </w:p>
    <w:p>
      <w:pPr>
        <w:spacing w:before="100" w:beforeAutospacing="1" w:after="100" w:afterAutospacing="1"/>
        <w:ind w:left="1418"/>
        <w:rPr>
          <w:rFonts w:cs="Calibri"/>
          <w:color w:val="000000"/>
          <w:szCs w:val="22"/>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Aux prix indiqués ci-dessous ou dans l’annexe financière jointe au présent document.</w:t>
      </w:r>
    </w:p>
    <w:p>
      <w:pPr>
        <w:pStyle w:val="Titre2"/>
        <w:spacing w:before="0" w:after="0"/>
      </w:pPr>
      <w:r>
        <w:t xml:space="preserve"> Nature du groupement et, en cas de groupement conjoint, répartition des prestations</w:t>
      </w:r>
    </w:p>
    <w:p>
      <w:pPr>
        <w:ind w:left="1418"/>
        <w:rPr>
          <w:rFonts w:cs="Calibri"/>
          <w:color w:val="000000"/>
          <w:sz w:val="18"/>
          <w:szCs w:val="22"/>
        </w:rPr>
      </w:pPr>
      <w:r>
        <w:rPr>
          <w:rFonts w:cs="Calibri"/>
          <w:color w:val="000000"/>
          <w:sz w:val="18"/>
          <w:szCs w:val="22"/>
        </w:rPr>
        <w:t>(En cas de groupement d’opérateurs économiques.)</w:t>
      </w:r>
    </w:p>
    <w:p>
      <w:pPr>
        <w:rPr>
          <w:rFonts w:cs="Calibri"/>
          <w:color w:val="000000"/>
          <w:szCs w:val="22"/>
        </w:rPr>
      </w:pPr>
    </w:p>
    <w:p>
      <w:pPr>
        <w:rPr>
          <w:rFonts w:cs="Calibri"/>
          <w:color w:val="000000"/>
          <w:szCs w:val="22"/>
        </w:rPr>
      </w:pPr>
      <w:r>
        <w:rPr>
          <w:rFonts w:cs="Calibri"/>
          <w:color w:val="000000"/>
          <w:szCs w:val="22"/>
        </w:rPr>
        <w:t>Pour l’exécution du marché public, le groupement d’opérateurs économiques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spacing w:before="100" w:beforeAutospacing="1"/>
        <w:rPr>
          <w:rFonts w:cs="Calibri"/>
          <w:color w:val="000000"/>
          <w:sz w:val="18"/>
          <w:szCs w:val="22"/>
        </w:rPr>
      </w:pPr>
      <w:r>
        <w:rPr>
          <w:rFonts w:cs="Calibri"/>
          <w:color w:val="000000"/>
          <w:sz w:val="18"/>
          <w:szCs w:val="22"/>
        </w:rPr>
        <w:t>(Les membres du groupement conjoint indiquent dans le tableau ci-dessous la répartition des prestations que chacun d’entre eux s’engage à réaliser.)</w:t>
      </w:r>
    </w:p>
    <w:tbl>
      <w:tblPr>
        <w:tblStyle w:val="Grilledutableau"/>
        <w:tblW w:w="0" w:type="auto"/>
        <w:tblInd w:w="709" w:type="dxa"/>
        <w:tblLook w:val="04A0" w:firstRow="1" w:lastRow="0" w:firstColumn="1" w:lastColumn="0" w:noHBand="0" w:noVBand="1"/>
      </w:tblPr>
      <w:tblGrid>
        <w:gridCol w:w="2998"/>
        <w:gridCol w:w="2998"/>
        <w:gridCol w:w="3066"/>
      </w:tblGrid>
      <w:tr>
        <w:tc>
          <w:tcPr>
            <w:tcW w:w="2998" w:type="dxa"/>
            <w:vMerge w:val="restart"/>
          </w:tcPr>
          <w:p>
            <w:pPr>
              <w:spacing w:before="100" w:beforeAutospacing="1" w:after="100" w:afterAutospacing="1"/>
              <w:ind w:left="0"/>
              <w:rPr>
                <w:rFonts w:cs="Calibri"/>
                <w:color w:val="000000"/>
                <w:sz w:val="18"/>
                <w:szCs w:val="22"/>
              </w:rPr>
            </w:pPr>
            <w:r>
              <w:rPr>
                <w:rFonts w:cs="Calibri"/>
                <w:color w:val="000000"/>
                <w:szCs w:val="22"/>
              </w:rPr>
              <w:t>Désignation des membres du groupement conjoint</w:t>
            </w:r>
          </w:p>
        </w:tc>
        <w:tc>
          <w:tcPr>
            <w:tcW w:w="6064" w:type="dxa"/>
            <w:gridSpan w:val="2"/>
          </w:tcPr>
          <w:p>
            <w:pPr>
              <w:spacing w:before="100" w:beforeAutospacing="1" w:after="100" w:afterAutospacing="1"/>
              <w:ind w:left="0"/>
              <w:rPr>
                <w:rFonts w:cs="Calibri"/>
                <w:color w:val="000000"/>
                <w:sz w:val="18"/>
                <w:szCs w:val="22"/>
              </w:rPr>
            </w:pPr>
            <w:r>
              <w:rPr>
                <w:rFonts w:cs="Calibri"/>
                <w:color w:val="000000"/>
                <w:szCs w:val="22"/>
              </w:rPr>
              <w:t>Prestations exécutées par les membres du groupement conjoint</w:t>
            </w:r>
          </w:p>
        </w:tc>
      </w:tr>
      <w:tr>
        <w:tc>
          <w:tcPr>
            <w:tcW w:w="2998" w:type="dxa"/>
            <w:vMerge/>
          </w:tcPr>
          <w:p>
            <w:pPr>
              <w:spacing w:before="100" w:beforeAutospacing="1" w:after="100" w:afterAutospacing="1"/>
              <w:ind w:left="0"/>
              <w:rPr>
                <w:rFonts w:cs="Calibri"/>
                <w:color w:val="000000"/>
                <w:sz w:val="18"/>
                <w:szCs w:val="22"/>
              </w:rPr>
            </w:pPr>
          </w:p>
        </w:tc>
        <w:tc>
          <w:tcPr>
            <w:tcW w:w="2998" w:type="dxa"/>
          </w:tcPr>
          <w:p>
            <w:pPr>
              <w:spacing w:before="100" w:beforeAutospacing="1" w:after="100" w:afterAutospacing="1"/>
              <w:ind w:left="0"/>
              <w:rPr>
                <w:rFonts w:cs="Calibri"/>
                <w:color w:val="000000"/>
                <w:sz w:val="18"/>
                <w:szCs w:val="22"/>
              </w:rPr>
            </w:pPr>
            <w:r>
              <w:rPr>
                <w:rFonts w:cs="Calibri"/>
                <w:color w:val="000000"/>
                <w:szCs w:val="22"/>
              </w:rPr>
              <w:t>Nature de la prestation</w:t>
            </w:r>
          </w:p>
        </w:tc>
        <w:tc>
          <w:tcPr>
            <w:tcW w:w="3066" w:type="dxa"/>
          </w:tcPr>
          <w:p>
            <w:pPr>
              <w:spacing w:before="100" w:beforeAutospacing="1" w:after="100" w:afterAutospacing="1"/>
              <w:rPr>
                <w:rFonts w:cs="Calibri"/>
                <w:color w:val="000000"/>
                <w:sz w:val="18"/>
                <w:szCs w:val="22"/>
              </w:rPr>
            </w:pPr>
            <w:r>
              <w:rPr>
                <w:rFonts w:cs="Calibri"/>
                <w:color w:val="000000"/>
                <w:szCs w:val="22"/>
              </w:rPr>
              <w:t>Montant HT de la prestation</w:t>
            </w:r>
          </w:p>
        </w:tc>
      </w:tr>
      <w:tr>
        <w:trPr>
          <w:trHeight w:val="476"/>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r>
        <w:trPr>
          <w:trHeight w:val="522"/>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bl>
    <w:p>
      <w:pPr>
        <w:pStyle w:val="Titre2"/>
      </w:pPr>
      <w:r>
        <w:t>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roofErr w:type="gramStart"/>
      <w:r>
        <w:rPr>
          <w:rFonts w:cs="Calibri"/>
          <w:color w:val="000000"/>
          <w:szCs w:val="22"/>
        </w:rPr>
        <w:t>…….</w:t>
      </w:r>
      <w:proofErr w:type="gramEnd"/>
      <w:r>
        <w:rPr>
          <w:rFonts w:cs="Calibri"/>
          <w:color w:val="000000"/>
          <w:szCs w:val="22"/>
        </w:rPr>
        <w:t>.</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t>Avance (article R. 2191-3 ou article R. 2391-1 du code de la commande publique)</w:t>
      </w:r>
    </w:p>
    <w:p>
      <w:pPr>
        <w:rPr>
          <w:rFonts w:cs="Calibri"/>
          <w:color w:val="000000"/>
          <w:szCs w:val="22"/>
        </w:rPr>
      </w:pPr>
      <w:r>
        <w:rPr>
          <w:rFonts w:cs="Calibri"/>
          <w:color w:val="000000"/>
          <w:szCs w:val="22"/>
        </w:rPr>
        <w:t xml:space="preserve">Je renonce au bénéfice de l'avance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t>Durée d’exécution du marché public</w:t>
      </w:r>
    </w:p>
    <w:p>
      <w:pPr>
        <w:pStyle w:val="Titre1"/>
        <w:ind w:left="357" w:hanging="357"/>
        <w:rPr>
          <w:rFonts w:eastAsia="Times New Roman"/>
          <w:b w:val="0"/>
          <w:bCs w:val="0"/>
          <w:caps w:val="0"/>
          <w:kern w:val="0"/>
          <w:szCs w:val="24"/>
          <w:lang w:eastAsia="ar-SA"/>
        </w:rPr>
      </w:pPr>
      <w:r>
        <w:rPr>
          <w:rFonts w:eastAsia="Times New Roman"/>
          <w:b w:val="0"/>
          <w:bCs w:val="0"/>
          <w:caps w:val="0"/>
          <w:kern w:val="0"/>
          <w:szCs w:val="24"/>
          <w:lang w:eastAsia="ar-SA"/>
        </w:rPr>
        <w:t>L’accord-cadre est conclu pour une durée de 12 mois à compter 1 mai 2025 ou à défaut sa date de notification si elle est postérieure et jusqu’au 30 avril 2026.</w:t>
      </w:r>
    </w:p>
    <w:p>
      <w:pPr>
        <w:pStyle w:val="Titre1"/>
        <w:spacing w:after="0"/>
        <w:ind w:left="357" w:hanging="357"/>
        <w:rPr>
          <w:rFonts w:eastAsia="Times New Roman"/>
          <w:b w:val="0"/>
          <w:bCs w:val="0"/>
          <w:caps w:val="0"/>
          <w:kern w:val="0"/>
          <w:szCs w:val="24"/>
          <w:lang w:eastAsia="ar-SA"/>
        </w:rPr>
      </w:pPr>
      <w:r>
        <w:rPr>
          <w:rFonts w:eastAsia="Times New Roman"/>
          <w:b w:val="0"/>
          <w:bCs w:val="0"/>
          <w:caps w:val="0"/>
          <w:kern w:val="0"/>
          <w:szCs w:val="24"/>
          <w:lang w:eastAsia="ar-SA"/>
        </w:rPr>
        <w:t>L’accord-cadre est reconductible 3 fois par période de 12 mois par tacite reconduction et n’excèdera le 30 avril 2029.</w:t>
      </w:r>
    </w:p>
    <w:p>
      <w:pPr>
        <w:pStyle w:val="Titre1"/>
        <w:spacing w:after="0"/>
        <w:ind w:left="357" w:hanging="357"/>
      </w:pPr>
      <w:r>
        <w:t>Signature du marché public par le titulaire individuel ou, en cas groupement, le mandataire dûment habilité ou chaque membre du groupement</w:t>
      </w:r>
    </w:p>
    <w:p>
      <w:pPr>
        <w:rPr>
          <w:rFonts w:cs="Calibri"/>
          <w:color w:val="000000"/>
          <w:sz w:val="18"/>
          <w:szCs w:val="22"/>
        </w:rPr>
      </w:pPr>
      <w:r>
        <w:rPr>
          <w:rFonts w:cs="Calibri"/>
          <w:color w:val="000000"/>
          <w:sz w:val="18"/>
          <w:szCs w:val="22"/>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pPr>
        <w:pStyle w:val="Titre2"/>
      </w:pPr>
      <w:r>
        <w:t>Signature du marché public par le titulaire individuel :</w:t>
      </w:r>
    </w:p>
    <w:p>
      <w:pPr>
        <w:rPr>
          <w:lang w:eastAsia="en-U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pStyle w:val="Titre2"/>
      </w:pPr>
      <w:r>
        <w:lastRenderedPageBreak/>
        <w:t>Signature du marché public en cas de groupement :</w:t>
      </w:r>
    </w:p>
    <w:p>
      <w:pPr>
        <w:rPr>
          <w:rFonts w:cs="Calibri"/>
          <w:color w:val="000000"/>
          <w:sz w:val="18"/>
          <w:szCs w:val="22"/>
        </w:rPr>
      </w:pPr>
      <w:r>
        <w:rPr>
          <w:rFonts w:cs="Calibri"/>
          <w:color w:val="000000"/>
          <w:sz w:val="18"/>
          <w:szCs w:val="22"/>
        </w:rPr>
        <w:t>Les membres du groupement d’opérateurs économiques désignent le mandataire suivant (article R. 2142-23 ou article R. 2342-12 du code de la commande publique) :</w:t>
      </w:r>
    </w:p>
    <w:p>
      <w:pPr>
        <w:rPr>
          <w:rFonts w:cs="Calibri"/>
          <w:color w:val="000000"/>
          <w:sz w:val="18"/>
          <w:szCs w:val="22"/>
        </w:rPr>
      </w:pPr>
      <w:r>
        <w:rPr>
          <w:rFonts w:cs="Calibri"/>
          <w:color w:val="000000"/>
          <w:sz w:val="18"/>
          <w:szCs w:val="22"/>
        </w:rPr>
        <w:t>[Indiquer le nom commercial et la dénomination sociale du mandataire]</w:t>
      </w:r>
    </w:p>
    <w:p>
      <w:pPr>
        <w:spacing w:before="100" w:beforeAutospacing="1"/>
        <w:rPr>
          <w:rFonts w:cs="Calibri"/>
          <w:color w:val="000000"/>
          <w:szCs w:val="22"/>
        </w:rPr>
      </w:pPr>
      <w:r>
        <w:rPr>
          <w:rFonts w:cs="Calibri"/>
          <w:color w:val="000000"/>
          <w:szCs w:val="22"/>
        </w:rPr>
        <w:t>En cas de groupement conjoint, le mandataire du groupement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ont donné mandat au mandataire, qui signe le présent acte d’engagement :</w:t>
      </w:r>
    </w:p>
    <w:p>
      <w:pPr>
        <w:rPr>
          <w:rFonts w:cs="Calibri"/>
          <w:color w:val="000000"/>
          <w:sz w:val="16"/>
          <w:szCs w:val="22"/>
        </w:rPr>
      </w:pPr>
      <w:r>
        <w:rPr>
          <w:rFonts w:cs="Calibri"/>
          <w:color w:val="000000"/>
          <w:sz w:val="16"/>
          <w:szCs w:val="22"/>
        </w:rPr>
        <w:t>(Cocher la ou les cases correspondantes.)</w:t>
      </w:r>
    </w:p>
    <w:p>
      <w:pPr>
        <w:rPr>
          <w:rFonts w:cs="Calibri"/>
          <w:color w:val="000000"/>
          <w:sz w:val="16"/>
          <w:szCs w:val="22"/>
        </w:rPr>
      </w:pP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Pour signer le présent acte d’engagement en leur nom et pour leur compte, pour les représenter vis-à-vis de l’acheteur et pour coordonner l’ensemble des prestations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rPr>
          <w:sz w:val="20"/>
        </w:rPr>
        <w:fldChar w:fldCharType="begin">
          <w:ffData>
            <w:name w:val=""/>
            <w:enabled/>
            <w:calcOnExit w:val="0"/>
            <w:checkBox>
              <w:size w:val="20"/>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cs="Calibri"/>
          <w:color w:val="000000"/>
          <w:sz w:val="20"/>
          <w:szCs w:val="22"/>
        </w:rPr>
        <w:t xml:space="preserve"> </w:t>
      </w:r>
      <w:r>
        <w:rPr>
          <w:rFonts w:cs="Calibri"/>
          <w:color w:val="000000"/>
          <w:szCs w:val="22"/>
        </w:rPr>
        <w:t>Pour signer, en leur nom et pour leur compte, les modifications ultérieures du marché public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Ont donné mandat au mandataire dans les conditions définies par les pouvoirs joints en annexe.</w:t>
      </w:r>
    </w:p>
    <w:p>
      <w:pPr>
        <w:rPr>
          <w:rFonts w:cs="Calibri"/>
          <w:color w:val="000000"/>
          <w:sz w:val="18"/>
          <w:szCs w:val="22"/>
        </w:rPr>
      </w:pPr>
      <w:r>
        <w:rPr>
          <w:rFonts w:cs="Calibri"/>
          <w:color w:val="000000"/>
          <w:sz w:val="18"/>
          <w:szCs w:val="22"/>
        </w:rPr>
        <w:t>(Hors cas des marchés de défense ou de sécurité dans lequel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qui signent le présent acte d’engagement :</w:t>
      </w:r>
    </w:p>
    <w:p>
      <w:pPr>
        <w:spacing w:after="100" w:afterAutospacing="1"/>
        <w:rPr>
          <w:rFonts w:cs="Calibri"/>
          <w:color w:val="000000"/>
          <w:sz w:val="18"/>
          <w:szCs w:val="22"/>
        </w:rPr>
      </w:pPr>
      <w:r>
        <w:rPr>
          <w:rFonts w:cs="Calibri"/>
          <w:color w:val="000000"/>
          <w:szCs w:val="22"/>
        </w:rPr>
        <w:t>(</w:t>
      </w:r>
      <w:r>
        <w:rPr>
          <w:rFonts w:cs="Calibri"/>
          <w:color w:val="000000"/>
          <w:sz w:val="18"/>
          <w:szCs w:val="22"/>
        </w:rPr>
        <w:t>Cocher la case correspondante.)</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qui l’accepte, pour les représenter vis-à-vis de l’acheteur et pour coordonner l’ensemble des prestations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qui l’accepte, pour signer, en leur nom et pour leur compte, les modifications ultérieures du marché public ;</w:t>
      </w: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dans les conditions définies ci-dessous :</w:t>
      </w:r>
    </w:p>
    <w:p>
      <w:pPr>
        <w:spacing w:after="100" w:afterAutospacing="1"/>
        <w:ind w:firstLine="709"/>
        <w:rPr>
          <w:rFonts w:cs="Calibri"/>
          <w:color w:val="000000"/>
          <w:sz w:val="18"/>
          <w:szCs w:val="22"/>
        </w:rPr>
      </w:pPr>
      <w:r>
        <w:rPr>
          <w:rFonts w:cs="Calibri"/>
          <w:color w:val="000000"/>
          <w:sz w:val="18"/>
          <w:szCs w:val="22"/>
        </w:rPr>
        <w:t>(Donner des précisions sur l’étendue du mandat.)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504"/>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ind w:left="0"/>
      </w:pPr>
    </w:p>
    <w:p>
      <w:pPr>
        <w:ind w:left="0"/>
      </w:pPr>
      <w:r>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tabs>
          <w:tab w:val="left" w:pos="3048"/>
          <w:tab w:val="center" w:pos="5245"/>
        </w:tabs>
        <w:rPr>
          <w:rFonts w:cs="Calibri"/>
          <w:color w:val="000000"/>
          <w:szCs w:val="22"/>
        </w:rPr>
      </w:pPr>
      <w:r>
        <w:rPr>
          <w:rFonts w:cs="Calibri"/>
          <w:color w:val="000000"/>
          <w:szCs w:val="22"/>
        </w:rPr>
        <w:tab/>
      </w:r>
      <w:r>
        <w:rPr>
          <w:rFonts w:cs="Calibri"/>
          <w:color w:val="000000"/>
          <w:szCs w:val="22"/>
        </w:rPr>
        <w:tab/>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pStyle w:val="Paragraphedeliste"/>
        <w:ind w:left="1429"/>
        <w:rPr>
          <w:rFonts w:cs="Calibri"/>
          <w:color w:val="000000"/>
          <w:szCs w:val="22"/>
        </w:rPr>
      </w:pPr>
    </w:p>
    <w:p>
      <w:pPr>
        <w:pStyle w:val="Paragraphedeliste"/>
        <w:ind w:left="1429"/>
        <w:jc w:val="center"/>
        <w:rPr>
          <w:rFonts w:cs="Calibri"/>
          <w:color w:val="000000"/>
          <w:szCs w:val="22"/>
        </w:rPr>
      </w:pPr>
      <w:r>
        <w:rPr>
          <w:rFonts w:cs="Calibri"/>
          <w:color w:val="000000"/>
          <w:szCs w:val="22"/>
        </w:rPr>
        <w:t xml:space="preserve">CLARA BRUNEL </w:t>
      </w:r>
    </w:p>
    <w:p>
      <w:pPr>
        <w:pStyle w:val="Paragraphedeliste"/>
        <w:ind w:left="1429"/>
        <w:jc w:val="center"/>
        <w:rPr>
          <w:rFonts w:cs="Calibri"/>
          <w:color w:val="000000"/>
          <w:szCs w:val="22"/>
        </w:rPr>
      </w:pPr>
      <w:r>
        <w:rPr>
          <w:rFonts w:cs="Calibri"/>
          <w:color w:val="000000"/>
          <w:szCs w:val="22"/>
        </w:rPr>
        <w:t>Directrice des Achats</w:t>
      </w:r>
    </w:p>
    <w:p>
      <w:pPr>
        <w:jc w:val="center"/>
        <w:rPr>
          <w:rFonts w:cs="Calibri"/>
          <w:color w:val="000000"/>
          <w:sz w:val="20"/>
          <w:szCs w:val="22"/>
        </w:rPr>
      </w:pPr>
      <w:r>
        <w:rPr>
          <w:rFonts w:cs="Calibri"/>
          <w:color w:val="000000"/>
          <w:sz w:val="20"/>
          <w:szCs w:val="22"/>
        </w:rPr>
        <w:t xml:space="preserve">               GHT PLAINE DE FRANCE</w:t>
      </w:r>
    </w:p>
    <w:p>
      <w:pPr>
        <w:pStyle w:val="Paragraphedeliste"/>
        <w:numPr>
          <w:ilvl w:val="0"/>
          <w:numId w:val="25"/>
        </w:numPr>
        <w:spacing w:before="100" w:beforeAutospacing="1"/>
        <w:rPr>
          <w:rFonts w:cs="Calibri"/>
          <w:color w:val="000000"/>
          <w:szCs w:val="22"/>
        </w:rPr>
      </w:pPr>
      <w:r>
        <w:rPr>
          <w:rFonts w:cs="Calibri"/>
          <w:color w:val="000000"/>
          <w:szCs w:val="22"/>
        </w:rPr>
        <w:lastRenderedPageBreak/>
        <w:t>Personne habilitée à donner les renseignements prévus à l’article R. 2191-59 du code de la commande publique, auquel renvoie l’article R. 2391-28 du même code (nantissements ou cessions de créances)</w:t>
      </w:r>
    </w:p>
    <w:p>
      <w:pPr>
        <w:pStyle w:val="Paragraphedeliste"/>
        <w:ind w:left="1429"/>
        <w:jc w:val="center"/>
        <w:rPr>
          <w:rFonts w:cs="Calibri"/>
          <w:color w:val="000000"/>
          <w:szCs w:val="22"/>
        </w:rPr>
      </w:pPr>
      <w:r>
        <w:rPr>
          <w:rFonts w:cs="Calibri"/>
          <w:color w:val="000000"/>
          <w:szCs w:val="22"/>
        </w:rPr>
        <w:t>CLARA BRUNEL</w:t>
      </w:r>
    </w:p>
    <w:p>
      <w:pPr>
        <w:pStyle w:val="Paragraphedeliste"/>
        <w:ind w:left="1429"/>
        <w:jc w:val="center"/>
        <w:rPr>
          <w:rFonts w:cs="Calibri"/>
          <w:color w:val="000000"/>
          <w:szCs w:val="22"/>
        </w:rPr>
      </w:pPr>
      <w:r>
        <w:rPr>
          <w:rFonts w:cs="Calibri"/>
          <w:color w:val="000000"/>
          <w:szCs w:val="22"/>
        </w:rPr>
        <w:t>Directrice des Achats</w:t>
      </w:r>
    </w:p>
    <w:p>
      <w:pPr>
        <w:pStyle w:val="Paragraphedeliste"/>
        <w:ind w:left="1429"/>
        <w:jc w:val="center"/>
        <w:rPr>
          <w:rFonts w:cs="Calibri"/>
          <w:color w:val="000000"/>
          <w:sz w:val="20"/>
          <w:szCs w:val="22"/>
        </w:rPr>
      </w:pPr>
      <w:r>
        <w:rPr>
          <w:rFonts w:cs="Calibri"/>
          <w:color w:val="000000"/>
          <w:sz w:val="20"/>
          <w:szCs w:val="22"/>
        </w:rPr>
        <w:t>GHT PLAINE DE France</w:t>
      </w:r>
    </w:p>
    <w:p>
      <w:pPr>
        <w:pStyle w:val="Paragraphedeliste"/>
        <w:ind w:left="1429"/>
        <w:jc w:val="center"/>
        <w:rPr>
          <w:rFonts w:cs="Calibri"/>
          <w:color w:val="000000"/>
          <w:sz w:val="20"/>
          <w:szCs w:val="22"/>
        </w:rPr>
      </w:pP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Désignation, adresse, numéro de téléphone du comptable assignataire</w:t>
      </w:r>
    </w:p>
    <w:p>
      <w:pPr>
        <w:jc w:val="center"/>
        <w:rPr>
          <w:rFonts w:cs="Calibri"/>
          <w:color w:val="000000"/>
          <w:szCs w:val="22"/>
        </w:rPr>
      </w:pPr>
      <w:r>
        <w:rPr>
          <w:rFonts w:cs="Calibri"/>
          <w:color w:val="000000"/>
          <w:szCs w:val="22"/>
        </w:rPr>
        <w:t>Le comptable assignataire du CENTRE HOSPITALIER DE SAINT-DENIS</w:t>
      </w:r>
    </w:p>
    <w:p>
      <w:pPr>
        <w:jc w:val="center"/>
        <w:rPr>
          <w:rFonts w:cs="Calibri"/>
          <w:color w:val="000000"/>
          <w:szCs w:val="22"/>
        </w:rPr>
      </w:pPr>
      <w:bookmarkStart w:id="1" w:name="_GoBack"/>
      <w:bookmarkEnd w:id="1"/>
      <w:r>
        <w:rPr>
          <w:rFonts w:cs="Calibri"/>
          <w:color w:val="000000"/>
          <w:szCs w:val="22"/>
        </w:rPr>
        <w:t>Direction des Achats</w:t>
      </w:r>
    </w:p>
    <w:p>
      <w:pPr>
        <w:jc w:val="center"/>
        <w:rPr>
          <w:rFonts w:cs="Calibri"/>
          <w:color w:val="000000"/>
          <w:szCs w:val="22"/>
        </w:rPr>
      </w:pPr>
      <w:r>
        <w:rPr>
          <w:rFonts w:cs="Calibri"/>
          <w:color w:val="000000"/>
          <w:szCs w:val="22"/>
        </w:rPr>
        <w:t>2, rue du Docteur Delafontaine</w:t>
      </w:r>
    </w:p>
    <w:p>
      <w:pPr>
        <w:jc w:val="center"/>
        <w:rPr>
          <w:rFonts w:cs="Calibri"/>
          <w:color w:val="000000"/>
          <w:szCs w:val="22"/>
        </w:rPr>
      </w:pPr>
      <w:r>
        <w:rPr>
          <w:rFonts w:cs="Calibri"/>
          <w:color w:val="000000"/>
          <w:szCs w:val="22"/>
        </w:rPr>
        <w:t>BP 279</w:t>
      </w:r>
    </w:p>
    <w:p>
      <w:pPr>
        <w:jc w:val="center"/>
        <w:rPr>
          <w:rFonts w:cs="Calibri"/>
          <w:color w:val="000000"/>
          <w:szCs w:val="22"/>
        </w:rPr>
      </w:pPr>
      <w:r>
        <w:rPr>
          <w:rFonts w:cs="Calibri"/>
          <w:color w:val="000000"/>
          <w:szCs w:val="22"/>
        </w:rPr>
        <w:t>93205 SAINT-DENIS CEDEX</w:t>
      </w:r>
    </w:p>
    <w:p>
      <w:pPr>
        <w:jc w:val="center"/>
        <w:rPr>
          <w:rFonts w:cs="Calibri"/>
          <w:color w:val="000000"/>
          <w:szCs w:val="22"/>
        </w:rPr>
      </w:pPr>
    </w:p>
    <w:p>
      <w:pPr>
        <w:pStyle w:val="Titre1"/>
      </w:pPr>
      <w:r>
        <w:t>DECISION De l’acheteur</w:t>
      </w:r>
    </w:p>
    <w:p>
      <w:pPr>
        <w:spacing w:before="100" w:beforeAutospacing="1" w:after="100" w:afterAutospacing="1"/>
        <w:rPr>
          <w:rFonts w:cs="Calibri"/>
          <w:color w:val="000000"/>
          <w:szCs w:val="22"/>
        </w:rPr>
      </w:pPr>
      <w:r>
        <w:rPr>
          <w:rFonts w:cs="Calibri"/>
          <w:color w:val="000000"/>
          <w:szCs w:val="22"/>
        </w:rPr>
        <w:t>La consultation pour le lot est attribuée à la société :</w:t>
      </w:r>
    </w:p>
    <w:p>
      <w:pPr>
        <w:spacing w:before="100" w:beforeAutospacing="1" w:after="100" w:afterAutospacing="1"/>
        <w:rPr>
          <w:rFonts w:cs="Calibri"/>
          <w:color w:val="000000"/>
          <w:szCs w:val="22"/>
        </w:rPr>
      </w:pPr>
      <w:r>
        <w:rPr>
          <w:rFonts w:cs="Calibri"/>
          <w:color w:val="000000"/>
          <w:szCs w:val="22"/>
        </w:rPr>
        <w:t>L’offre financière est jointe au présent acte d’engagement.</w:t>
      </w:r>
    </w:p>
    <w:p>
      <w:pPr>
        <w:spacing w:before="100" w:beforeAutospacing="1" w:after="100" w:afterAutospacing="1"/>
        <w:rPr>
          <w:rFonts w:cs="Calibri"/>
          <w:color w:val="000000"/>
          <w:szCs w:val="22"/>
          <w:highlight w:val="yellow"/>
        </w:rPr>
      </w:pPr>
      <w:r>
        <w:rPr>
          <w:rFonts w:cs="Calibri"/>
          <w:color w:val="000000"/>
          <w:szCs w:val="22"/>
        </w:rPr>
        <w:t>A Saint Denis, le ……………</w:t>
      </w:r>
    </w:p>
    <w:p>
      <w:pPr>
        <w:pStyle w:val="Paragraphedeliste"/>
        <w:ind w:left="1429"/>
        <w:jc w:val="right"/>
        <w:rPr>
          <w:rFonts w:cs="Calibri"/>
          <w:b/>
          <w:color w:val="000000"/>
          <w:szCs w:val="22"/>
        </w:rPr>
      </w:pPr>
      <w:r>
        <w:rPr>
          <w:rFonts w:cs="Calibri"/>
          <w:b/>
          <w:color w:val="000000"/>
          <w:szCs w:val="22"/>
        </w:rPr>
        <w:t>CLARA BRUNEL</w:t>
      </w:r>
    </w:p>
    <w:p>
      <w:pPr>
        <w:jc w:val="right"/>
        <w:rPr>
          <w:rFonts w:cs="Calibri"/>
          <w:color w:val="000000"/>
          <w:szCs w:val="22"/>
        </w:rPr>
      </w:pPr>
      <w:r>
        <w:rPr>
          <w:rFonts w:cs="Calibri"/>
          <w:color w:val="000000"/>
          <w:szCs w:val="22"/>
        </w:rPr>
        <w:t>Directrice des Achats</w:t>
      </w:r>
    </w:p>
    <w:p>
      <w:pPr>
        <w:jc w:val="right"/>
        <w:rPr>
          <w:rFonts w:cs="Calibri"/>
          <w:color w:val="000000"/>
          <w:sz w:val="20"/>
          <w:szCs w:val="22"/>
        </w:rPr>
      </w:pPr>
      <w:r>
        <w:rPr>
          <w:rFonts w:cs="Calibri"/>
          <w:color w:val="000000"/>
          <w:sz w:val="20"/>
          <w:szCs w:val="22"/>
        </w:rPr>
        <w:t>GHT PLAINE DE France</w:t>
      </w:r>
    </w:p>
    <w:p>
      <w:pPr>
        <w:jc w:val="right"/>
        <w:rPr>
          <w:rFonts w:cs="Calibri"/>
          <w:color w:val="000000"/>
          <w:sz w:val="20"/>
          <w:szCs w:val="22"/>
        </w:rPr>
      </w:pPr>
    </w:p>
    <w:sectPr>
      <w:footerReference w:type="default" r:id="rId10"/>
      <w:headerReference w:type="first" r:id="rId11"/>
      <w:footerReference w:type="first" r:id="rId12"/>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Segoe UI Semibold"/>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sz w:val="14"/>
        <w:szCs w:val="16"/>
      </w:rPr>
    </w:pPr>
    <w:sdt>
      <w:sdtPr>
        <w:rPr>
          <w:rFonts w:asciiTheme="minorHAnsi" w:hAnsiTheme="minorHAnsi" w:cstheme="minorHAnsi"/>
          <w:sz w:val="8"/>
          <w:szCs w:val="16"/>
        </w:rPr>
        <w:id w:val="-994563573"/>
        <w:docPartObj>
          <w:docPartGallery w:val="Page Numbers (Bottom of Page)"/>
          <w:docPartUnique/>
        </w:docPartObj>
      </w:sdtPr>
      <w:sdtEndPr>
        <w:rPr>
          <w:sz w:val="14"/>
        </w:rPr>
      </w:sdtEndPr>
      <w:sdtContent>
        <w:sdt>
          <w:sdtPr>
            <w:rPr>
              <w:rFonts w:asciiTheme="minorHAnsi" w:hAnsiTheme="minorHAnsi" w:cstheme="minorHAnsi"/>
              <w:sz w:val="14"/>
              <w:szCs w:val="16"/>
            </w:rPr>
            <w:id w:val="916440288"/>
            <w:docPartObj>
              <w:docPartGallery w:val="Page Numbers (Top of Page)"/>
              <w:docPartUnique/>
            </w:docPartObj>
          </w:sdtPr>
          <w:sdtContent>
            <w:r>
              <w:rPr>
                <w:rFonts w:asciiTheme="minorHAnsi" w:hAnsiTheme="minorHAnsi" w:cstheme="minorHAnsi"/>
                <w:sz w:val="14"/>
                <w:szCs w:val="16"/>
              </w:rPr>
              <w:t xml:space="preserve"> AE : FOURNITURE ET LIVRAISON DE LAITS INFANTILES POUR LE GHT PLAINE DE FRANCE</w:t>
            </w:r>
            <w:r>
              <w:rPr>
                <w:rFonts w:asciiTheme="minorHAnsi" w:hAnsiTheme="minorHAnsi" w:cstheme="minorHAnsi"/>
                <w:sz w:val="14"/>
                <w:szCs w:val="16"/>
              </w:rPr>
              <w:tab/>
            </w:r>
            <w:r>
              <w:rPr>
                <w:rFonts w:asciiTheme="minorHAnsi" w:hAnsiTheme="minorHAnsi" w:cstheme="minorHAnsi"/>
                <w:sz w:val="14"/>
                <w:szCs w:val="16"/>
              </w:rPr>
              <w:tab/>
              <w:t xml:space="preserve">Page </w:t>
            </w:r>
            <w:r>
              <w:rPr>
                <w:rFonts w:asciiTheme="minorHAnsi" w:hAnsiTheme="minorHAnsi" w:cstheme="minorHAnsi"/>
                <w:b/>
                <w:bCs/>
                <w:sz w:val="14"/>
                <w:szCs w:val="16"/>
              </w:rPr>
              <w:fldChar w:fldCharType="begin"/>
            </w:r>
            <w:r>
              <w:rPr>
                <w:rFonts w:asciiTheme="minorHAnsi" w:hAnsiTheme="minorHAnsi" w:cstheme="minorHAnsi"/>
                <w:b/>
                <w:bCs/>
                <w:sz w:val="14"/>
                <w:szCs w:val="16"/>
              </w:rPr>
              <w:instrText>PAGE</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r>
              <w:rPr>
                <w:rFonts w:asciiTheme="minorHAnsi" w:hAnsiTheme="minorHAnsi" w:cstheme="minorHAnsi"/>
                <w:sz w:val="14"/>
                <w:szCs w:val="16"/>
              </w:rPr>
              <w:t xml:space="preserve"> sur </w:t>
            </w:r>
            <w:r>
              <w:rPr>
                <w:rFonts w:asciiTheme="minorHAnsi" w:hAnsiTheme="minorHAnsi" w:cstheme="minorHAnsi"/>
                <w:b/>
                <w:bCs/>
                <w:sz w:val="14"/>
                <w:szCs w:val="16"/>
              </w:rPr>
              <w:fldChar w:fldCharType="begin"/>
            </w:r>
            <w:r>
              <w:rPr>
                <w:rFonts w:asciiTheme="minorHAnsi" w:hAnsiTheme="minorHAnsi" w:cstheme="minorHAnsi"/>
                <w:b/>
                <w:bCs/>
                <w:sz w:val="14"/>
                <w:szCs w:val="16"/>
              </w:rPr>
              <w:instrText>NUMPAGES</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1pt;height:129.5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7F3159E"/>
    <w:multiLevelType w:val="hybridMultilevel"/>
    <w:tmpl w:val="E0D84B3C"/>
    <w:lvl w:ilvl="0" w:tplc="02B64CF6">
      <w:numFmt w:val="bullet"/>
      <w:lvlText w:val="-"/>
      <w:lvlJc w:val="left"/>
      <w:pPr>
        <w:ind w:left="1304" w:hanging="360"/>
      </w:pPr>
      <w:rPr>
        <w:rFonts w:ascii="Calibri" w:eastAsia="Times New Roman" w:hAnsi="Calibri" w:cs="Calibri" w:hint="default"/>
      </w:rPr>
    </w:lvl>
    <w:lvl w:ilvl="1" w:tplc="040C0003" w:tentative="1">
      <w:start w:val="1"/>
      <w:numFmt w:val="bullet"/>
      <w:lvlText w:val="o"/>
      <w:lvlJc w:val="left"/>
      <w:pPr>
        <w:ind w:left="2024" w:hanging="360"/>
      </w:pPr>
      <w:rPr>
        <w:rFonts w:ascii="Courier New" w:hAnsi="Courier New" w:cs="Courier New" w:hint="default"/>
      </w:rPr>
    </w:lvl>
    <w:lvl w:ilvl="2" w:tplc="040C0005" w:tentative="1">
      <w:start w:val="1"/>
      <w:numFmt w:val="bullet"/>
      <w:lvlText w:val=""/>
      <w:lvlJc w:val="left"/>
      <w:pPr>
        <w:ind w:left="2744" w:hanging="360"/>
      </w:pPr>
      <w:rPr>
        <w:rFonts w:ascii="Wingdings" w:hAnsi="Wingdings" w:hint="default"/>
      </w:rPr>
    </w:lvl>
    <w:lvl w:ilvl="3" w:tplc="040C0001" w:tentative="1">
      <w:start w:val="1"/>
      <w:numFmt w:val="bullet"/>
      <w:lvlText w:val=""/>
      <w:lvlJc w:val="left"/>
      <w:pPr>
        <w:ind w:left="3464" w:hanging="360"/>
      </w:pPr>
      <w:rPr>
        <w:rFonts w:ascii="Symbol" w:hAnsi="Symbol" w:hint="default"/>
      </w:rPr>
    </w:lvl>
    <w:lvl w:ilvl="4" w:tplc="040C0003" w:tentative="1">
      <w:start w:val="1"/>
      <w:numFmt w:val="bullet"/>
      <w:lvlText w:val="o"/>
      <w:lvlJc w:val="left"/>
      <w:pPr>
        <w:ind w:left="4184" w:hanging="360"/>
      </w:pPr>
      <w:rPr>
        <w:rFonts w:ascii="Courier New" w:hAnsi="Courier New" w:cs="Courier New" w:hint="default"/>
      </w:rPr>
    </w:lvl>
    <w:lvl w:ilvl="5" w:tplc="040C0005" w:tentative="1">
      <w:start w:val="1"/>
      <w:numFmt w:val="bullet"/>
      <w:lvlText w:val=""/>
      <w:lvlJc w:val="left"/>
      <w:pPr>
        <w:ind w:left="4904" w:hanging="360"/>
      </w:pPr>
      <w:rPr>
        <w:rFonts w:ascii="Wingdings" w:hAnsi="Wingdings" w:hint="default"/>
      </w:rPr>
    </w:lvl>
    <w:lvl w:ilvl="6" w:tplc="040C0001" w:tentative="1">
      <w:start w:val="1"/>
      <w:numFmt w:val="bullet"/>
      <w:lvlText w:val=""/>
      <w:lvlJc w:val="left"/>
      <w:pPr>
        <w:ind w:left="5624" w:hanging="360"/>
      </w:pPr>
      <w:rPr>
        <w:rFonts w:ascii="Symbol" w:hAnsi="Symbol" w:hint="default"/>
      </w:rPr>
    </w:lvl>
    <w:lvl w:ilvl="7" w:tplc="040C0003" w:tentative="1">
      <w:start w:val="1"/>
      <w:numFmt w:val="bullet"/>
      <w:lvlText w:val="o"/>
      <w:lvlJc w:val="left"/>
      <w:pPr>
        <w:ind w:left="6344" w:hanging="360"/>
      </w:pPr>
      <w:rPr>
        <w:rFonts w:ascii="Courier New" w:hAnsi="Courier New" w:cs="Courier New" w:hint="default"/>
      </w:rPr>
    </w:lvl>
    <w:lvl w:ilvl="8" w:tplc="040C0005" w:tentative="1">
      <w:start w:val="1"/>
      <w:numFmt w:val="bullet"/>
      <w:lvlText w:val=""/>
      <w:lvlJc w:val="left"/>
      <w:pPr>
        <w:ind w:left="7064" w:hanging="360"/>
      </w:pPr>
      <w:rPr>
        <w:rFonts w:ascii="Wingdings" w:hAnsi="Wingdings" w:hint="default"/>
      </w:rPr>
    </w:lvl>
  </w:abstractNum>
  <w:abstractNum w:abstractNumId="11"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4A4D3227"/>
    <w:multiLevelType w:val="hybridMultilevel"/>
    <w:tmpl w:val="922C3BCE"/>
    <w:lvl w:ilvl="0" w:tplc="CC36DD62">
      <w:numFmt w:val="bullet"/>
      <w:lvlText w:val="-"/>
      <w:lvlJc w:val="left"/>
      <w:pPr>
        <w:ind w:left="1302" w:hanging="358"/>
      </w:pPr>
      <w:rPr>
        <w:rFonts w:ascii="Calibri" w:eastAsia="Calibri" w:hAnsi="Calibri" w:cs="Calibri" w:hint="default"/>
        <w:w w:val="100"/>
        <w:sz w:val="22"/>
        <w:szCs w:val="22"/>
        <w:lang w:val="fr-FR" w:eastAsia="en-US" w:bidi="ar-SA"/>
      </w:rPr>
    </w:lvl>
    <w:lvl w:ilvl="1" w:tplc="816A56C4">
      <w:numFmt w:val="bullet"/>
      <w:lvlText w:val=""/>
      <w:lvlJc w:val="left"/>
      <w:pPr>
        <w:ind w:left="1561" w:hanging="360"/>
      </w:pPr>
      <w:rPr>
        <w:rFonts w:ascii="Symbol" w:eastAsia="Symbol" w:hAnsi="Symbol" w:cs="Symbol" w:hint="default"/>
        <w:w w:val="100"/>
        <w:sz w:val="22"/>
        <w:szCs w:val="22"/>
        <w:lang w:val="fr-FR" w:eastAsia="en-US" w:bidi="ar-SA"/>
      </w:rPr>
    </w:lvl>
    <w:lvl w:ilvl="2" w:tplc="3832284E">
      <w:numFmt w:val="bullet"/>
      <w:lvlText w:val="•"/>
      <w:lvlJc w:val="left"/>
      <w:pPr>
        <w:ind w:left="2548" w:hanging="360"/>
      </w:pPr>
      <w:rPr>
        <w:rFonts w:hint="default"/>
        <w:lang w:val="fr-FR" w:eastAsia="en-US" w:bidi="ar-SA"/>
      </w:rPr>
    </w:lvl>
    <w:lvl w:ilvl="3" w:tplc="9CBC6C4E">
      <w:numFmt w:val="bullet"/>
      <w:lvlText w:val="•"/>
      <w:lvlJc w:val="left"/>
      <w:pPr>
        <w:ind w:left="3537" w:hanging="360"/>
      </w:pPr>
      <w:rPr>
        <w:rFonts w:hint="default"/>
        <w:lang w:val="fr-FR" w:eastAsia="en-US" w:bidi="ar-SA"/>
      </w:rPr>
    </w:lvl>
    <w:lvl w:ilvl="4" w:tplc="78E6A206">
      <w:numFmt w:val="bullet"/>
      <w:lvlText w:val="•"/>
      <w:lvlJc w:val="left"/>
      <w:pPr>
        <w:ind w:left="4526" w:hanging="360"/>
      </w:pPr>
      <w:rPr>
        <w:rFonts w:hint="default"/>
        <w:lang w:val="fr-FR" w:eastAsia="en-US" w:bidi="ar-SA"/>
      </w:rPr>
    </w:lvl>
    <w:lvl w:ilvl="5" w:tplc="6EB48268">
      <w:numFmt w:val="bullet"/>
      <w:lvlText w:val="•"/>
      <w:lvlJc w:val="left"/>
      <w:pPr>
        <w:ind w:left="5515" w:hanging="360"/>
      </w:pPr>
      <w:rPr>
        <w:rFonts w:hint="default"/>
        <w:lang w:val="fr-FR" w:eastAsia="en-US" w:bidi="ar-SA"/>
      </w:rPr>
    </w:lvl>
    <w:lvl w:ilvl="6" w:tplc="71BA8FF4">
      <w:numFmt w:val="bullet"/>
      <w:lvlText w:val="•"/>
      <w:lvlJc w:val="left"/>
      <w:pPr>
        <w:ind w:left="6504" w:hanging="360"/>
      </w:pPr>
      <w:rPr>
        <w:rFonts w:hint="default"/>
        <w:lang w:val="fr-FR" w:eastAsia="en-US" w:bidi="ar-SA"/>
      </w:rPr>
    </w:lvl>
    <w:lvl w:ilvl="7" w:tplc="EAD80C62">
      <w:numFmt w:val="bullet"/>
      <w:lvlText w:val="•"/>
      <w:lvlJc w:val="left"/>
      <w:pPr>
        <w:ind w:left="7493" w:hanging="360"/>
      </w:pPr>
      <w:rPr>
        <w:rFonts w:hint="default"/>
        <w:lang w:val="fr-FR" w:eastAsia="en-US" w:bidi="ar-SA"/>
      </w:rPr>
    </w:lvl>
    <w:lvl w:ilvl="8" w:tplc="8B1E7D0C">
      <w:numFmt w:val="bullet"/>
      <w:lvlText w:val="•"/>
      <w:lvlJc w:val="left"/>
      <w:pPr>
        <w:ind w:left="8482" w:hanging="360"/>
      </w:pPr>
      <w:rPr>
        <w:rFonts w:hint="default"/>
        <w:lang w:val="fr-FR" w:eastAsia="en-US" w:bidi="ar-SA"/>
      </w:rPr>
    </w:lvl>
  </w:abstractNum>
  <w:abstractNum w:abstractNumId="17"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8"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2B329FF"/>
    <w:multiLevelType w:val="hybridMultilevel"/>
    <w:tmpl w:val="CB588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15:restartNumberingAfterBreak="0">
    <w:nsid w:val="73BF400D"/>
    <w:multiLevelType w:val="multilevel"/>
    <w:tmpl w:val="E6D4DECC"/>
    <w:lvl w:ilvl="0">
      <w:start w:val="1"/>
      <w:numFmt w:val="decimal"/>
      <w:lvlText w:val="Article %1"/>
      <w:lvlJc w:val="left"/>
      <w:pPr>
        <w:ind w:left="1495" w:hanging="360"/>
      </w:pPr>
      <w:rPr>
        <w:rFonts w:ascii="Calibri" w:hAnsi="Calibri" w:hint="default"/>
        <w:b/>
        <w:i w:val="0"/>
        <w:sz w:val="22"/>
      </w:rPr>
    </w:lvl>
    <w:lvl w:ilvl="1">
      <w:start w:val="1"/>
      <w:numFmt w:val="decimal"/>
      <w:lvlText w:val="%1.%2"/>
      <w:lvlJc w:val="left"/>
      <w:pPr>
        <w:ind w:left="576" w:hanging="576"/>
      </w:pPr>
      <w:rPr>
        <w:rFonts w:ascii="Calibri" w:hAnsi="Calibri" w:hint="default"/>
        <w:b/>
        <w:i w:val="0"/>
        <w:sz w:val="22"/>
      </w:rPr>
    </w:lvl>
    <w:lvl w:ilvl="2">
      <w:start w:val="1"/>
      <w:numFmt w:val="decimal"/>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7"/>
  </w:num>
  <w:num w:numId="4">
    <w:abstractNumId w:val="27"/>
  </w:num>
  <w:num w:numId="5">
    <w:abstractNumId w:val="30"/>
  </w:num>
  <w:num w:numId="6">
    <w:abstractNumId w:val="19"/>
  </w:num>
  <w:num w:numId="7">
    <w:abstractNumId w:val="23"/>
  </w:num>
  <w:num w:numId="8">
    <w:abstractNumId w:val="26"/>
  </w:num>
  <w:num w:numId="9">
    <w:abstractNumId w:val="22"/>
  </w:num>
  <w:num w:numId="10">
    <w:abstractNumId w:val="5"/>
  </w:num>
  <w:num w:numId="11">
    <w:abstractNumId w:val="18"/>
  </w:num>
  <w:num w:numId="12">
    <w:abstractNumId w:val="31"/>
  </w:num>
  <w:num w:numId="13">
    <w:abstractNumId w:val="25"/>
  </w:num>
  <w:num w:numId="14">
    <w:abstractNumId w:val="6"/>
  </w:num>
  <w:num w:numId="15">
    <w:abstractNumId w:val="12"/>
  </w:num>
  <w:num w:numId="16">
    <w:abstractNumId w:val="29"/>
  </w:num>
  <w:num w:numId="17">
    <w:abstractNumId w:val="28"/>
  </w:num>
  <w:num w:numId="18">
    <w:abstractNumId w:val="15"/>
  </w:num>
  <w:num w:numId="19">
    <w:abstractNumId w:val="11"/>
  </w:num>
  <w:num w:numId="20">
    <w:abstractNumId w:val="8"/>
  </w:num>
  <w:num w:numId="21">
    <w:abstractNumId w:val="14"/>
  </w:num>
  <w:num w:numId="22">
    <w:abstractNumId w:val="9"/>
  </w:num>
  <w:num w:numId="23">
    <w:abstractNumId w:val="24"/>
  </w:num>
  <w:num w:numId="24">
    <w:abstractNumId w:val="13"/>
  </w:num>
  <w:num w:numId="25">
    <w:abstractNumId w:val="20"/>
  </w:num>
  <w:num w:numId="26">
    <w:abstractNumId w:val="16"/>
  </w:num>
  <w:num w:numId="27">
    <w:abstractNumId w:val="10"/>
  </w:num>
  <w:num w:numId="28">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spacing w:before="240" w:after="240"/>
      <w:ind w:left="0"/>
      <w:outlineLvl w:val="0"/>
    </w:pPr>
    <w:rPr>
      <w:rFonts w:eastAsiaTheme="minorHAnsi"/>
      <w:b/>
      <w:bCs/>
      <w:caps/>
      <w:kern w:val="32"/>
      <w:szCs w:val="32"/>
    </w:rPr>
  </w:style>
  <w:style w:type="paragraph" w:styleId="Titre2">
    <w:name w:val="heading 2"/>
    <w:basedOn w:val="Mtexte1"/>
    <w:next w:val="Titre3"/>
    <w:link w:val="Titre2Car"/>
    <w:uiPriority w:val="9"/>
    <w:qFormat/>
    <w:locked/>
    <w:pPr>
      <w:spacing w:before="240" w:after="120"/>
      <w:ind w:left="0"/>
      <w:outlineLvl w:val="1"/>
    </w:pPr>
    <w:rPr>
      <w:b/>
    </w:rPr>
  </w:style>
  <w:style w:type="paragraph" w:styleId="Titre3">
    <w:name w:val="heading 3"/>
    <w:basedOn w:val="Normal"/>
    <w:next w:val="Normal"/>
    <w:link w:val="Titre3Car"/>
    <w:uiPriority w:val="9"/>
    <w:qFormat/>
    <w:locked/>
    <w:pPr>
      <w:keepNext/>
      <w:spacing w:before="240" w:after="60"/>
      <w:ind w:left="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aliases w:val="§norme,Resume Title,Paragraphe de liste N1,lp1,Bullet Niv 1,Paragraphe de liste num,Paragraphe de liste 1,Puce focus,Tab n1,Legende,texte de base,normal,Paragraphe liste 1,Bull - Bullet niveau 1,Lettre d'introduction,Paragrafo elenco"/>
    <w:basedOn w:val="Normal"/>
    <w:link w:val="ParagraphedelisteCar"/>
    <w:uiPriority w:val="1"/>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3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 w:type="character" w:customStyle="1" w:styleId="ParagraphedelisteCar">
    <w:name w:val="Paragraphe de liste Car"/>
    <w:aliases w:val="§norme Car,Resume Title Car,Paragraphe de liste N1 Car,lp1 Car,Bullet Niv 1 Car,Paragraphe de liste num Car,Paragraphe de liste 1 Car,Puce focus Car,Tab n1 Car,Legende Car,texte de base Car,normal Car,Paragraphe liste 1 Car"/>
    <w:link w:val="Paragraphedeliste"/>
    <w:uiPriority w:val="34"/>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341664696">
      <w:bodyDiv w:val="1"/>
      <w:marLeft w:val="0"/>
      <w:marRight w:val="0"/>
      <w:marTop w:val="0"/>
      <w:marBottom w:val="0"/>
      <w:divBdr>
        <w:top w:val="none" w:sz="0" w:space="0" w:color="auto"/>
        <w:left w:val="none" w:sz="0" w:space="0" w:color="auto"/>
        <w:bottom w:val="none" w:sz="0" w:space="0" w:color="auto"/>
        <w:right w:val="none" w:sz="0" w:space="0" w:color="auto"/>
      </w:divBdr>
      <w:divsChild>
        <w:div w:id="1933271206">
          <w:marLeft w:val="0"/>
          <w:marRight w:val="0"/>
          <w:marTop w:val="0"/>
          <w:marBottom w:val="0"/>
          <w:divBdr>
            <w:top w:val="none" w:sz="0" w:space="0" w:color="auto"/>
            <w:left w:val="none" w:sz="0" w:space="0" w:color="auto"/>
            <w:bottom w:val="none" w:sz="0" w:space="0" w:color="auto"/>
            <w:right w:val="none" w:sz="0" w:space="0" w:color="auto"/>
          </w:divBdr>
        </w:div>
        <w:div w:id="1455901828">
          <w:marLeft w:val="0"/>
          <w:marRight w:val="0"/>
          <w:marTop w:val="0"/>
          <w:marBottom w:val="0"/>
          <w:divBdr>
            <w:top w:val="none" w:sz="0" w:space="0" w:color="auto"/>
            <w:left w:val="none" w:sz="0" w:space="0" w:color="auto"/>
            <w:bottom w:val="none" w:sz="0" w:space="0" w:color="auto"/>
            <w:right w:val="none" w:sz="0" w:space="0" w:color="auto"/>
          </w:divBdr>
        </w:div>
        <w:div w:id="2122332688">
          <w:marLeft w:val="0"/>
          <w:marRight w:val="0"/>
          <w:marTop w:val="0"/>
          <w:marBottom w:val="0"/>
          <w:divBdr>
            <w:top w:val="none" w:sz="0" w:space="0" w:color="auto"/>
            <w:left w:val="none" w:sz="0" w:space="0" w:color="auto"/>
            <w:bottom w:val="none" w:sz="0" w:space="0" w:color="auto"/>
            <w:right w:val="none" w:sz="0" w:space="0" w:color="auto"/>
          </w:divBdr>
        </w:div>
        <w:div w:id="383142287">
          <w:marLeft w:val="0"/>
          <w:marRight w:val="0"/>
          <w:marTop w:val="0"/>
          <w:marBottom w:val="0"/>
          <w:divBdr>
            <w:top w:val="none" w:sz="0" w:space="0" w:color="auto"/>
            <w:left w:val="none" w:sz="0" w:space="0" w:color="auto"/>
            <w:bottom w:val="none" w:sz="0" w:space="0" w:color="auto"/>
            <w:right w:val="none" w:sz="0" w:space="0" w:color="auto"/>
          </w:divBdr>
        </w:div>
        <w:div w:id="486752827">
          <w:marLeft w:val="0"/>
          <w:marRight w:val="0"/>
          <w:marTop w:val="0"/>
          <w:marBottom w:val="0"/>
          <w:divBdr>
            <w:top w:val="none" w:sz="0" w:space="0" w:color="auto"/>
            <w:left w:val="none" w:sz="0" w:space="0" w:color="auto"/>
            <w:bottom w:val="none" w:sz="0" w:space="0" w:color="auto"/>
            <w:right w:val="none" w:sz="0" w:space="0" w:color="auto"/>
          </w:divBdr>
        </w:div>
        <w:div w:id="1771271198">
          <w:marLeft w:val="0"/>
          <w:marRight w:val="0"/>
          <w:marTop w:val="0"/>
          <w:marBottom w:val="0"/>
          <w:divBdr>
            <w:top w:val="none" w:sz="0" w:space="0" w:color="auto"/>
            <w:left w:val="none" w:sz="0" w:space="0" w:color="auto"/>
            <w:bottom w:val="none" w:sz="0" w:space="0" w:color="auto"/>
            <w:right w:val="none" w:sz="0" w:space="0" w:color="auto"/>
          </w:divBdr>
        </w:div>
      </w:divsChild>
    </w:div>
    <w:div w:id="1492019938">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0AA5E-7A2D-4900-A75F-6E6F7C0FB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1310</Words>
  <Characters>7210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TARAMELLI Guy</cp:lastModifiedBy>
  <cp:revision>7</cp:revision>
  <cp:lastPrinted>2020-09-29T16:24:00Z</cp:lastPrinted>
  <dcterms:created xsi:type="dcterms:W3CDTF">2024-12-20T14:07:00Z</dcterms:created>
  <dcterms:modified xsi:type="dcterms:W3CDTF">2025-01-29T12:47:00Z</dcterms:modified>
</cp:coreProperties>
</file>